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2">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5">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8">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9">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B">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C">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D">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Memorandum of Understanding</w:t>
      </w:r>
    </w:p>
    <w:p w:rsidR="00000000" w:rsidDel="00000000" w:rsidP="00000000" w:rsidRDefault="00000000" w:rsidRPr="00000000" w14:paraId="0000000E">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between</w:t>
      </w:r>
    </w:p>
    <w:p w:rsidR="00000000" w:rsidDel="00000000" w:rsidP="00000000" w:rsidRDefault="00000000" w:rsidRPr="00000000" w14:paraId="00000010">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1">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National Institute of Biomedical Genomics (NIBMG), having address </w:t>
      </w:r>
      <w:r w:rsidDel="00000000" w:rsidR="00000000" w:rsidRPr="00000000">
        <w:rPr>
          <w:rFonts w:ascii="Times New Roman" w:cs="Times New Roman" w:eastAsia="Times New Roman" w:hAnsi="Times New Roman"/>
          <w:b w:val="1"/>
          <w:color w:val="1f1f1f"/>
          <w:sz w:val="24"/>
          <w:szCs w:val="24"/>
          <w:highlight w:val="white"/>
          <w:rtl w:val="0"/>
        </w:rPr>
        <w:t xml:space="preserve">PO:NSS, Kalyani, West Bengal 741251, represented by </w:t>
      </w:r>
      <w:r w:rsidDel="00000000" w:rsidR="00000000" w:rsidRPr="00000000">
        <w:rPr>
          <w:rFonts w:ascii="Times New Roman" w:cs="Times New Roman" w:eastAsia="Times New Roman" w:hAnsi="Times New Roman"/>
          <w:b w:val="1"/>
          <w:color w:val="1f1f1f"/>
          <w:sz w:val="24"/>
          <w:szCs w:val="24"/>
          <w:highlight w:val="yellow"/>
          <w:rtl w:val="0"/>
        </w:rPr>
        <w:t xml:space="preserve">Dr. Sagar Sengupta</w:t>
      </w:r>
      <w:r w:rsidDel="00000000" w:rsidR="00000000" w:rsidRPr="00000000">
        <w:rPr>
          <w:rFonts w:ascii="Times New Roman" w:cs="Times New Roman" w:eastAsia="Times New Roman" w:hAnsi="Times New Roman"/>
          <w:b w:val="1"/>
          <w:color w:val="1f1f1f"/>
          <w:sz w:val="24"/>
          <w:szCs w:val="24"/>
          <w:highlight w:val="white"/>
          <w:rtl w:val="0"/>
        </w:rPr>
        <w:t xml:space="preserve">, Director and Dr. Sandeep Singh, Principal Investigator</w:t>
      </w:r>
      <w:r w:rsidDel="00000000" w:rsidR="00000000" w:rsidRPr="00000000">
        <w:rPr>
          <w:rtl w:val="0"/>
        </w:rPr>
      </w:r>
    </w:p>
    <w:p w:rsidR="00000000" w:rsidDel="00000000" w:rsidP="00000000" w:rsidRDefault="00000000" w:rsidRPr="00000000" w14:paraId="00000012">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And </w:t>
      </w:r>
    </w:p>
    <w:p w:rsidR="00000000" w:rsidDel="00000000" w:rsidP="00000000" w:rsidRDefault="00000000" w:rsidRPr="00000000" w14:paraId="00000013">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Tata Medical Center (TMC), having address 14, Major Arterial Road (E-W), Newtown, Rajarhat, Kolkata, 700160, represented by Dr. Pattatheyil Arun, Chief Executive Officer and Dr. Jain prateek Vijay, Principal Investigator</w:t>
      </w:r>
    </w:p>
    <w:p w:rsidR="00000000" w:rsidDel="00000000" w:rsidP="00000000" w:rsidRDefault="00000000" w:rsidRPr="00000000" w14:paraId="00000014">
      <w:pPr>
        <w:spacing w:after="0"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5">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for</w:t>
      </w:r>
    </w:p>
    <w:p w:rsidR="00000000" w:rsidDel="00000000" w:rsidP="00000000" w:rsidRDefault="00000000" w:rsidRPr="00000000" w14:paraId="00000016">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Collaboration to Execute Scientific Grant(s) </w:t>
      </w:r>
    </w:p>
    <w:p w:rsidR="00000000" w:rsidDel="00000000" w:rsidP="00000000" w:rsidRDefault="00000000" w:rsidRPr="00000000" w14:paraId="00000017">
      <w:pPr>
        <w:spacing w:after="0" w:line="36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8">
      <w:pPr>
        <w:numPr>
          <w:ilvl w:val="0"/>
          <w:numId w:val="1"/>
        </w:numPr>
        <w:pBdr>
          <w:top w:space="0" w:sz="0" w:val="nil"/>
          <w:left w:space="0" w:sz="0" w:val="nil"/>
          <w:bottom w:space="0" w:sz="0" w:val="nil"/>
          <w:right w:space="0" w:sz="0" w:val="nil"/>
          <w:between w:space="0" w:sz="0" w:val="nil"/>
        </w:pBdr>
        <w:spacing w:after="0" w:line="360" w:lineRule="auto"/>
        <w:ind w:left="288" w:hanging="288"/>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PREAMBLE: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20" w:firstLine="0"/>
        <w:jc w:val="both"/>
        <w:rPr>
          <w:b w:val="1"/>
          <w:color w:val="000000"/>
          <w:sz w:val="24"/>
          <w:szCs w:val="24"/>
        </w:rPr>
      </w:pPr>
      <w:r w:rsidDel="00000000" w:rsidR="00000000" w:rsidRPr="00000000">
        <w:rPr>
          <w:color w:val="000000"/>
          <w:sz w:val="24"/>
          <w:szCs w:val="24"/>
          <w:rtl w:val="0"/>
        </w:rPr>
        <w:t xml:space="preserve">Complex dynamic interactions between genetically diverse cancer cells and environmental factors, construct ecological niches responsible for maintaining the ecosystem in solid tumor, impacting the aggressive cancer behaviour, drug tolerance and overall poor prognosis. However, </w:t>
      </w:r>
      <w:r w:rsidDel="00000000" w:rsidR="00000000" w:rsidRPr="00000000">
        <w:rPr>
          <w:i w:val="1"/>
          <w:color w:val="000000"/>
          <w:sz w:val="24"/>
          <w:szCs w:val="24"/>
          <w:u w:val="single"/>
          <w:rtl w:val="0"/>
        </w:rPr>
        <w:t xml:space="preserve">currently there is a lack of knowledge about the definition of most critical phenotypes of the group of cells responsible for impacting prognosis. </w:t>
      </w:r>
      <w:r w:rsidDel="00000000" w:rsidR="00000000" w:rsidRPr="00000000">
        <w:rPr>
          <w:color w:val="000000"/>
          <w:sz w:val="24"/>
          <w:szCs w:val="24"/>
          <w:rtl w:val="0"/>
        </w:rPr>
        <w:t xml:space="preserve">To decipher ecological principals under such circumstances, we have proposed here to adapt the concept of ‘space as a surrogate’, as majorly applied in ecology studies. This concept mainly relies on a prior hypothesis and ecological knowledge. With the advancement in the technology, spatial patterns can be generated from thousands or millions of cells from single biopsy or surgically resected tumor samples. </w:t>
      </w:r>
      <w:r w:rsidDel="00000000" w:rsidR="00000000" w:rsidRPr="00000000">
        <w:rPr>
          <w:i w:val="1"/>
          <w:color w:val="000000"/>
          <w:sz w:val="24"/>
          <w:szCs w:val="24"/>
          <w:u w:val="single"/>
          <w:rtl w:val="0"/>
        </w:rPr>
        <w:t xml:space="preserve">Integration of this spatial information with clear hypothesis and precise analysis; we are aiming to construct ecological structure of Tie2-activated CAFs-neighbourhood which may potentially be used as prognostic biomarker associated with aggressive phenotype in oral cancer. </w:t>
      </w:r>
      <w:r w:rsidDel="00000000" w:rsidR="00000000" w:rsidRPr="00000000">
        <w:rPr>
          <w:rtl w:val="0"/>
        </w:rPr>
      </w:r>
    </w:p>
    <w:p w:rsidR="00000000" w:rsidDel="00000000" w:rsidP="00000000" w:rsidRDefault="00000000" w:rsidRPr="00000000" w14:paraId="0000001A">
      <w:pPr>
        <w:spacing w:after="0" w:line="36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spacing w:after="0" w:line="360" w:lineRule="auto"/>
        <w:ind w:left="284" w:hanging="284"/>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OBJECTIVE:</w:t>
      </w:r>
    </w:p>
    <w:p w:rsidR="00000000" w:rsidDel="00000000" w:rsidP="00000000" w:rsidRDefault="00000000" w:rsidRPr="00000000" w14:paraId="0000001C">
      <w:pPr>
        <w:spacing w:after="0" w:lineRule="auto"/>
        <w:ind w:left="709" w:firstLine="0"/>
        <w:jc w:val="both"/>
        <w:rPr>
          <w:color w:val="000000"/>
          <w:sz w:val="24"/>
          <w:szCs w:val="24"/>
        </w:rPr>
      </w:pPr>
      <w:r w:rsidDel="00000000" w:rsidR="00000000" w:rsidRPr="00000000">
        <w:rPr>
          <w:b w:val="1"/>
          <w:color w:val="000000"/>
          <w:sz w:val="24"/>
          <w:szCs w:val="24"/>
          <w:rtl w:val="0"/>
        </w:rPr>
        <w:t xml:space="preserve">Primary objective:</w:t>
      </w:r>
      <w:r w:rsidDel="00000000" w:rsidR="00000000" w:rsidRPr="00000000">
        <w:rPr>
          <w:color w:val="000000"/>
          <w:sz w:val="24"/>
          <w:szCs w:val="24"/>
          <w:rtl w:val="0"/>
        </w:rPr>
        <w:t xml:space="preserve"> </w:t>
        <w:tab/>
        <w:tab/>
        <w:tab/>
        <w:tab/>
      </w:r>
    </w:p>
    <w:p w:rsidR="00000000" w:rsidDel="00000000" w:rsidP="00000000" w:rsidRDefault="00000000" w:rsidRPr="00000000" w14:paraId="0000001D">
      <w:pPr>
        <w:spacing w:after="0" w:lineRule="auto"/>
        <w:ind w:left="709" w:firstLine="0"/>
        <w:jc w:val="both"/>
        <w:rPr>
          <w:color w:val="000000"/>
          <w:sz w:val="24"/>
          <w:szCs w:val="24"/>
        </w:rPr>
      </w:pPr>
      <w:r w:rsidDel="00000000" w:rsidR="00000000" w:rsidRPr="00000000">
        <w:rPr>
          <w:color w:val="000000"/>
          <w:sz w:val="24"/>
          <w:szCs w:val="24"/>
          <w:rtl w:val="0"/>
        </w:rPr>
        <w:t xml:space="preserve">To prepare tissue microarray block of FFPE tissue samples of gingivobuccal oral tumors for investigating the cellular neighbourhood of Tie2-activated CAFs. </w:t>
      </w:r>
    </w:p>
    <w:p w:rsidR="00000000" w:rsidDel="00000000" w:rsidP="00000000" w:rsidRDefault="00000000" w:rsidRPr="00000000" w14:paraId="0000001E">
      <w:pPr>
        <w:spacing w:after="0" w:lineRule="auto"/>
        <w:ind w:left="709" w:firstLine="0"/>
        <w:jc w:val="both"/>
        <w:rPr>
          <w:b w:val="1"/>
          <w:color w:val="000000"/>
          <w:sz w:val="24"/>
          <w:szCs w:val="24"/>
        </w:rPr>
      </w:pPr>
      <w:r w:rsidDel="00000000" w:rsidR="00000000" w:rsidRPr="00000000">
        <w:rPr>
          <w:rtl w:val="0"/>
        </w:rPr>
      </w:r>
    </w:p>
    <w:p w:rsidR="00000000" w:rsidDel="00000000" w:rsidP="00000000" w:rsidRDefault="00000000" w:rsidRPr="00000000" w14:paraId="0000001F">
      <w:pPr>
        <w:spacing w:after="0" w:lineRule="auto"/>
        <w:ind w:left="709" w:firstLine="0"/>
        <w:jc w:val="both"/>
        <w:rPr>
          <w:b w:val="1"/>
          <w:color w:val="000000"/>
          <w:sz w:val="24"/>
          <w:szCs w:val="24"/>
        </w:rPr>
      </w:pPr>
      <w:r w:rsidDel="00000000" w:rsidR="00000000" w:rsidRPr="00000000">
        <w:rPr>
          <w:b w:val="1"/>
          <w:color w:val="000000"/>
          <w:sz w:val="24"/>
          <w:szCs w:val="24"/>
          <w:rtl w:val="0"/>
        </w:rPr>
        <w:t xml:space="preserve">Secondary objectives:</w:t>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pacing w:after="0" w:lineRule="auto"/>
        <w:ind w:left="1069" w:hanging="360"/>
        <w:jc w:val="both"/>
        <w:rPr>
          <w:color w:val="000000"/>
          <w:sz w:val="24"/>
          <w:szCs w:val="24"/>
        </w:rPr>
      </w:pPr>
      <w:r w:rsidDel="00000000" w:rsidR="00000000" w:rsidRPr="00000000">
        <w:rPr>
          <w:color w:val="000000"/>
          <w:sz w:val="24"/>
          <w:szCs w:val="24"/>
          <w:rtl w:val="0"/>
        </w:rPr>
        <w:t xml:space="preserve">Preparation of Tissue microarray using FFPE samples from stage T1/T2 patient with early recurrence, T3/T4 patients with good prognosis and T3/T4 patients with early recurrence.</w:t>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spacing w:after="0" w:lineRule="auto"/>
        <w:ind w:left="1069" w:hanging="360"/>
        <w:jc w:val="both"/>
        <w:rPr>
          <w:color w:val="000000"/>
          <w:sz w:val="24"/>
          <w:szCs w:val="24"/>
        </w:rPr>
      </w:pPr>
      <w:r w:rsidDel="00000000" w:rsidR="00000000" w:rsidRPr="00000000">
        <w:rPr>
          <w:color w:val="000000"/>
          <w:sz w:val="24"/>
          <w:szCs w:val="24"/>
          <w:rtl w:val="0"/>
        </w:rPr>
        <w:t xml:space="preserve">Preparation of Tissue microarray using FFPE samples for those patients for whom a small piece was collected by Dr. Sandeep Singh during surgical resection for the earlier collaborative study. </w:t>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spacing w:after="0" w:lineRule="auto"/>
        <w:ind w:left="1069" w:hanging="360"/>
        <w:jc w:val="both"/>
        <w:rPr>
          <w:color w:val="000000"/>
          <w:sz w:val="24"/>
          <w:szCs w:val="24"/>
        </w:rPr>
      </w:pPr>
      <w:r w:rsidDel="00000000" w:rsidR="00000000" w:rsidRPr="00000000">
        <w:rPr>
          <w:color w:val="000000"/>
          <w:sz w:val="24"/>
          <w:szCs w:val="24"/>
          <w:rtl w:val="0"/>
        </w:rPr>
        <w:t xml:space="preserve">Assessment and quantification of tumor stromal-markers such as BMP4, alpha-SMA, SERPINE1, FAP and Tie2 and its effect on prognosis. </w:t>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after="0" w:lineRule="auto"/>
        <w:ind w:left="1069" w:hanging="360"/>
        <w:jc w:val="both"/>
        <w:rPr>
          <w:color w:val="000000"/>
          <w:sz w:val="24"/>
          <w:szCs w:val="24"/>
        </w:rPr>
      </w:pPr>
      <w:r w:rsidDel="00000000" w:rsidR="00000000" w:rsidRPr="00000000">
        <w:rPr>
          <w:color w:val="000000"/>
          <w:sz w:val="24"/>
          <w:szCs w:val="24"/>
          <w:rtl w:val="0"/>
        </w:rPr>
        <w:t xml:space="preserve">Assessment and quantification of tumor stemness markers OCT4, SOX2, SOX9, NANOG, cMYC and KLF4, KRT1/10, KRT5/14, CD24, CD44, ALDH1A1. </w:t>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pacing w:after="0" w:lineRule="auto"/>
        <w:ind w:left="1069" w:hanging="360"/>
        <w:jc w:val="both"/>
        <w:rPr>
          <w:color w:val="000000"/>
          <w:sz w:val="24"/>
          <w:szCs w:val="24"/>
        </w:rPr>
      </w:pPr>
      <w:r w:rsidDel="00000000" w:rsidR="00000000" w:rsidRPr="00000000">
        <w:rPr>
          <w:color w:val="000000"/>
          <w:sz w:val="24"/>
          <w:szCs w:val="24"/>
          <w:rtl w:val="0"/>
        </w:rPr>
        <w:t xml:space="preserve">Assessment and quantification of angiogenesis (CD31), immune markers (CD4, CD8, Foxp3, CD20, CD68) and secretory factors (BMP4, TGFB1, PDL1).</w:t>
      </w:r>
    </w:p>
    <w:p w:rsidR="00000000" w:rsidDel="00000000" w:rsidP="00000000" w:rsidRDefault="00000000" w:rsidRPr="00000000" w14:paraId="00000025">
      <w:pPr>
        <w:numPr>
          <w:ilvl w:val="0"/>
          <w:numId w:val="2"/>
        </w:numPr>
        <w:pBdr>
          <w:top w:space="0" w:sz="0" w:val="nil"/>
          <w:left w:space="0" w:sz="0" w:val="nil"/>
          <w:bottom w:space="0" w:sz="0" w:val="nil"/>
          <w:right w:space="0" w:sz="0" w:val="nil"/>
          <w:between w:space="0" w:sz="0" w:val="nil"/>
        </w:pBdr>
        <w:spacing w:after="0" w:lineRule="auto"/>
        <w:ind w:left="1069" w:hanging="360"/>
        <w:jc w:val="both"/>
        <w:rPr>
          <w:color w:val="000000"/>
          <w:sz w:val="24"/>
          <w:szCs w:val="24"/>
        </w:rPr>
      </w:pPr>
      <w:r w:rsidDel="00000000" w:rsidR="00000000" w:rsidRPr="00000000">
        <w:rPr>
          <w:color w:val="000000"/>
          <w:sz w:val="24"/>
          <w:szCs w:val="24"/>
          <w:rtl w:val="0"/>
        </w:rPr>
        <w:t xml:space="preserve">To determine the sensitivity, specificity, positive and negative predictive value of clinico-pathological features and prognosis with molecular markers.</w:t>
      </w:r>
    </w:p>
    <w:p w:rsidR="00000000" w:rsidDel="00000000" w:rsidP="00000000" w:rsidRDefault="00000000" w:rsidRPr="00000000" w14:paraId="00000026">
      <w:pPr>
        <w:spacing w:after="0" w:line="36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360" w:lineRule="auto"/>
        <w:ind w:left="284" w:hanging="36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PROJECT DETAILS:</w:t>
      </w:r>
    </w:p>
    <w:p w:rsidR="00000000" w:rsidDel="00000000" w:rsidP="00000000" w:rsidRDefault="00000000" w:rsidRPr="00000000" w14:paraId="00000028">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spacing w:after="0" w:line="360" w:lineRule="auto"/>
        <w:ind w:left="0" w:firstLine="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RESEARCH DESIGN </w:t>
      </w:r>
    </w:p>
    <w:p w:rsidR="00000000" w:rsidDel="00000000" w:rsidP="00000000" w:rsidRDefault="00000000" w:rsidRPr="00000000" w14:paraId="0000002A">
      <w:pPr>
        <w:ind w:left="742" w:firstLine="0"/>
        <w:jc w:val="both"/>
        <w:rPr>
          <w:sz w:val="24"/>
          <w:szCs w:val="24"/>
        </w:rPr>
      </w:pPr>
      <w:r w:rsidDel="00000000" w:rsidR="00000000" w:rsidRPr="00000000">
        <w:rPr>
          <w:sz w:val="24"/>
          <w:szCs w:val="24"/>
          <w:rtl w:val="0"/>
        </w:rPr>
        <w:t xml:space="preserve">This is an exploratory biomarker study on archived biosamples. We will define the group of cells to draw cellular and molecular diversity of the neighbourhood of Tie2-activated myofibroblastic-CAFs and estimate its correlation with clinical behaviour.</w:t>
      </w:r>
    </w:p>
    <w:p w:rsidR="00000000" w:rsidDel="00000000" w:rsidP="00000000" w:rsidRDefault="00000000" w:rsidRPr="00000000" w14:paraId="0000002B">
      <w:pPr>
        <w:widowControl w:val="0"/>
        <w:numPr>
          <w:ilvl w:val="0"/>
          <w:numId w:val="3"/>
        </w:numPr>
        <w:spacing w:after="120" w:before="120" w:lineRule="auto"/>
        <w:ind w:left="742" w:firstLine="0"/>
        <w:jc w:val="both"/>
        <w:rPr>
          <w:b w:val="1"/>
          <w:i w:val="1"/>
          <w:color w:val="000000"/>
          <w:sz w:val="24"/>
          <w:szCs w:val="24"/>
        </w:rPr>
      </w:pPr>
      <w:r w:rsidDel="00000000" w:rsidR="00000000" w:rsidRPr="00000000">
        <w:rPr>
          <w:b w:val="1"/>
          <w:i w:val="1"/>
          <w:color w:val="000000"/>
          <w:sz w:val="24"/>
          <w:szCs w:val="24"/>
          <w:rtl w:val="0"/>
        </w:rPr>
        <w:t xml:space="preserve">Construction of Tissue Microarray: </w:t>
      </w:r>
    </w:p>
    <w:p w:rsidR="00000000" w:rsidDel="00000000" w:rsidP="00000000" w:rsidRDefault="00000000" w:rsidRPr="00000000" w14:paraId="0000002C">
      <w:pPr>
        <w:spacing w:after="120" w:before="120" w:lineRule="auto"/>
        <w:ind w:left="742" w:firstLine="0"/>
        <w:jc w:val="both"/>
        <w:rPr>
          <w:sz w:val="24"/>
          <w:szCs w:val="24"/>
        </w:rPr>
      </w:pPr>
      <w:r w:rsidDel="00000000" w:rsidR="00000000" w:rsidRPr="00000000">
        <w:rPr>
          <w:color w:val="000000"/>
          <w:sz w:val="24"/>
          <w:szCs w:val="24"/>
          <w:rtl w:val="0"/>
        </w:rPr>
        <w:t xml:space="preserve">We will use retrospectively collected formalin fixed paraffin embedded (FFPE) tissue blocks of surgically resected oral tumors, as mentioned in inclusion criteria. Tissue microarray (TMA) will be manually constructed by taking two different regions per sample (on two different blocks) for 21 different tumors with 3 mm core size, or as per the suitability on each block. These regions will be decided by the pathologist based on the H&amp;E review and in consultation with other investigators. These prepared TMA will be used </w:t>
      </w:r>
      <w:r w:rsidDel="00000000" w:rsidR="00000000" w:rsidRPr="00000000">
        <w:rPr>
          <w:sz w:val="24"/>
          <w:szCs w:val="24"/>
          <w:rtl w:val="0"/>
        </w:rPr>
        <w:t xml:space="preserve">for the specific purpose of this study. </w:t>
      </w:r>
    </w:p>
    <w:p w:rsidR="00000000" w:rsidDel="00000000" w:rsidP="00000000" w:rsidRDefault="00000000" w:rsidRPr="00000000" w14:paraId="0000002D">
      <w:pPr>
        <w:widowControl w:val="0"/>
        <w:numPr>
          <w:ilvl w:val="0"/>
          <w:numId w:val="3"/>
        </w:numPr>
        <w:spacing w:after="120" w:before="120" w:lineRule="auto"/>
        <w:ind w:left="742" w:firstLine="0"/>
        <w:jc w:val="both"/>
        <w:rPr>
          <w:b w:val="1"/>
          <w:i w:val="1"/>
          <w:color w:val="000000"/>
          <w:sz w:val="24"/>
          <w:szCs w:val="24"/>
        </w:rPr>
      </w:pPr>
      <w:r w:rsidDel="00000000" w:rsidR="00000000" w:rsidRPr="00000000">
        <w:rPr>
          <w:b w:val="1"/>
          <w:i w:val="1"/>
          <w:color w:val="000000"/>
          <w:sz w:val="24"/>
          <w:szCs w:val="24"/>
          <w:rtl w:val="0"/>
        </w:rPr>
        <w:t xml:space="preserve">Multiplex-detection of markers of neoplastic, stromal CAFs, Angiogenesis and immune markers:  </w:t>
      </w:r>
    </w:p>
    <w:p w:rsidR="00000000" w:rsidDel="00000000" w:rsidP="00000000" w:rsidRDefault="00000000" w:rsidRPr="00000000" w14:paraId="0000002E">
      <w:pPr>
        <w:spacing w:after="120" w:before="120" w:lineRule="auto"/>
        <w:ind w:left="742" w:firstLine="0"/>
        <w:jc w:val="both"/>
        <w:rPr>
          <w:color w:val="000000"/>
          <w:sz w:val="24"/>
          <w:szCs w:val="24"/>
        </w:rPr>
      </w:pPr>
      <w:r w:rsidDel="00000000" w:rsidR="00000000" w:rsidRPr="00000000">
        <w:rPr>
          <w:color w:val="000000"/>
          <w:sz w:val="24"/>
          <w:szCs w:val="24"/>
          <w:rtl w:val="0"/>
        </w:rPr>
        <w:t xml:space="preserve">Multiplexed detection of molecular markers will be performed using platform specific kits (Nanostring/Akoya/10xGenomics or similar) as per the manufacturer’s instructions. The automated quantitative scores for each marker will be given by keeping both cellularity and intensity of expression into consideration by the inbuilt analysis software. Images will be taken for the positively stained areas of tumor lobes at 200x magnification. Samples will be distributed for low and high-types based on median Score of Tie2 expression. Slides will be assessed by two different pathologist who will be kept blinded about the sample-types. Slides will be processed for neoplastic (pan cytokeratin, CK5/14, CK1/10), tumor stemness markers OCT4, SOX2, SOX9, NANOG, cMYC and KLF4, CD24, CD44, ALDH1A1stromal CAFs (Tie2, aSMA, FAP), angiogenesis (CD31), immune markers (CD4, CD8, Foxp3, CD20, CD68) and secretory factors (BMP4, TGFB1, PDL1) by multiplexed detection. This assay will facilitate us in characterizing the compartments of tumor and stroma at single cell resolution.  </w:t>
      </w:r>
    </w:p>
    <w:p w:rsidR="00000000" w:rsidDel="00000000" w:rsidP="00000000" w:rsidRDefault="00000000" w:rsidRPr="00000000" w14:paraId="0000002F">
      <w:pPr>
        <w:spacing w:after="120" w:before="120" w:lineRule="auto"/>
        <w:ind w:left="742" w:firstLine="0"/>
        <w:jc w:val="both"/>
        <w:rPr>
          <w:b w:val="1"/>
          <w:i w:val="1"/>
          <w:color w:val="000000"/>
          <w:sz w:val="24"/>
          <w:szCs w:val="24"/>
        </w:rPr>
      </w:pPr>
      <w:r w:rsidDel="00000000" w:rsidR="00000000" w:rsidRPr="00000000">
        <w:rPr>
          <w:b w:val="1"/>
          <w:i w:val="1"/>
          <w:color w:val="000000"/>
          <w:sz w:val="24"/>
          <w:szCs w:val="24"/>
          <w:rtl w:val="0"/>
        </w:rPr>
        <w:t xml:space="preserve">c) Characterization of cell-type distribution and cellular neighbourhood:</w:t>
      </w:r>
    </w:p>
    <w:p w:rsidR="00000000" w:rsidDel="00000000" w:rsidP="00000000" w:rsidRDefault="00000000" w:rsidRPr="00000000" w14:paraId="00000030">
      <w:pPr>
        <w:spacing w:after="120" w:before="120" w:lineRule="auto"/>
        <w:ind w:left="742" w:firstLine="0"/>
        <w:jc w:val="both"/>
        <w:rPr>
          <w:color w:val="000000"/>
          <w:sz w:val="24"/>
          <w:szCs w:val="24"/>
        </w:rPr>
      </w:pPr>
      <w:r w:rsidDel="00000000" w:rsidR="00000000" w:rsidRPr="00000000">
        <w:rPr>
          <w:color w:val="000000"/>
          <w:sz w:val="24"/>
          <w:szCs w:val="24"/>
          <w:rtl w:val="0"/>
        </w:rPr>
        <w:t xml:space="preserve">The quality control procedures to remove any intensity dropouts shall help eliminate any non-biological background, and enable image analysis with high accuracy and reliability to ensure a cleaner signal. Intensity normalization will be performed to standardize brightness levels across the diverse channels. To gain insights into the cellular composition and organization, a moving window approach will be used to calculate the frequency of adjacent cell types for each cell. This can then lead to cluster the windows into regions corresponding to distinct cellular neighbourhoods [13]. These cellular neighbourhoods would capture the spatial relationships between different cell types within the tissue.  Voronoi visualization technique will be used to represent the boundaries of cellular neighbourhoods. </w:t>
      </w:r>
    </w:p>
    <w:p w:rsidR="00000000" w:rsidDel="00000000" w:rsidP="00000000" w:rsidRDefault="00000000" w:rsidRPr="00000000" w14:paraId="00000031">
      <w:pPr>
        <w:spacing w:after="120" w:before="120" w:lineRule="auto"/>
        <w:ind w:left="742" w:firstLine="0"/>
        <w:jc w:val="both"/>
        <w:rPr>
          <w:b w:val="1"/>
          <w:i w:val="1"/>
          <w:color w:val="000000"/>
          <w:sz w:val="24"/>
          <w:szCs w:val="24"/>
        </w:rPr>
      </w:pPr>
      <w:r w:rsidDel="00000000" w:rsidR="00000000" w:rsidRPr="00000000">
        <w:rPr>
          <w:b w:val="1"/>
          <w:i w:val="1"/>
          <w:color w:val="000000"/>
          <w:sz w:val="24"/>
          <w:szCs w:val="24"/>
          <w:rtl w:val="0"/>
        </w:rPr>
        <w:t xml:space="preserve">d) Modelling the ecological structure:</w:t>
      </w:r>
    </w:p>
    <w:p w:rsidR="00000000" w:rsidDel="00000000" w:rsidP="00000000" w:rsidRDefault="00000000" w:rsidRPr="00000000" w14:paraId="00000032">
      <w:pPr>
        <w:spacing w:after="120" w:before="120" w:lineRule="auto"/>
        <w:ind w:left="742" w:firstLine="0"/>
        <w:jc w:val="both"/>
        <w:rPr>
          <w:color w:val="000000"/>
          <w:sz w:val="24"/>
          <w:szCs w:val="24"/>
        </w:rPr>
      </w:pPr>
      <w:r w:rsidDel="00000000" w:rsidR="00000000" w:rsidRPr="00000000">
        <w:rPr>
          <w:color w:val="000000"/>
          <w:sz w:val="24"/>
          <w:szCs w:val="24"/>
          <w:rtl w:val="0"/>
        </w:rPr>
        <w:t xml:space="preserve">We shall computationally model the ecological interactions through the use of a Cellular modelling framework provided by manufacturer or open source tool like CompuCell3D [14]. It will allow us to encode the nature of interactions between different cell types, leveraging existing knowledge from the literature. Initially, we will focus on modelling individual cellular neighbourhoods separately, based on randomly initializing an ensemble of cell types based on the relative frequencies obtained from analysis. Subsequently, a coarse-grained model will be developed, representing each cellular neighbourhood as an agent. Parameters derived from individual neighbourhood simulations will inform neighbourhood transitions and invasion dynamics. This approach will allow us to map out the entire tumour, incorporating patient-specific distributions and synthetic distributions to evaluate the generalizability of our models. Finally, we will cluster these simulations based on the final distribution of cellular neighbourhoods and overall tumour size for further analysis relating back to clinical significance. </w:t>
      </w:r>
    </w:p>
    <w:p w:rsidR="00000000" w:rsidDel="00000000" w:rsidP="00000000" w:rsidRDefault="00000000" w:rsidRPr="00000000" w14:paraId="00000033">
      <w:pPr>
        <w:spacing w:after="120" w:before="120" w:lineRule="auto"/>
        <w:ind w:left="742" w:firstLine="0"/>
        <w:jc w:val="both"/>
        <w:rPr>
          <w:b w:val="1"/>
          <w:i w:val="1"/>
          <w:color w:val="000000"/>
          <w:sz w:val="24"/>
          <w:szCs w:val="24"/>
        </w:rPr>
      </w:pPr>
      <w:r w:rsidDel="00000000" w:rsidR="00000000" w:rsidRPr="00000000">
        <w:rPr>
          <w:b w:val="1"/>
          <w:i w:val="1"/>
          <w:color w:val="000000"/>
          <w:sz w:val="24"/>
          <w:szCs w:val="24"/>
          <w:rtl w:val="0"/>
        </w:rPr>
        <w:t xml:space="preserve">e) Correlation with clinical characteristics:</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360" w:lineRule="auto"/>
        <w:ind w:left="742" w:firstLine="0"/>
        <w:jc w:val="both"/>
        <w:rPr>
          <w:color w:val="000000"/>
          <w:sz w:val="24"/>
          <w:szCs w:val="24"/>
        </w:rPr>
      </w:pPr>
      <w:r w:rsidDel="00000000" w:rsidR="00000000" w:rsidRPr="00000000">
        <w:rPr>
          <w:color w:val="000000"/>
          <w:sz w:val="24"/>
          <w:szCs w:val="24"/>
          <w:rtl w:val="0"/>
        </w:rPr>
        <w:t xml:space="preserve">We will gather comprehensive clinical data including essential parameters such as tumour grade, and disease progression for each patient in our cohort. Next, we will examine the spatial distributions of cell types and neighbourhood analysis based on these clinical classifications. We shall employ Tucker decomposition [13] to extract modules representing distinct patterns in both cell types and cellular neighbourhoods across the various classifications.</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360" w:lineRule="auto"/>
        <w:ind w:left="742" w:firstLine="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0" w:line="360" w:lineRule="auto"/>
        <w:ind w:left="0" w:firstLine="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COST</w:t>
      </w:r>
    </w:p>
    <w:p w:rsidR="00000000" w:rsidDel="00000000" w:rsidP="00000000" w:rsidRDefault="00000000" w:rsidRPr="00000000" w14:paraId="00000037">
      <w:pPr>
        <w:spacing w:after="0" w:line="360" w:lineRule="auto"/>
        <w:ind w:firstLine="72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3.3.1 NON-RECURRING: </w:t>
      </w:r>
    </w:p>
    <w:p w:rsidR="00000000" w:rsidDel="00000000" w:rsidP="00000000" w:rsidRDefault="00000000" w:rsidRPr="00000000" w14:paraId="00000038">
      <w:pPr>
        <w:spacing w:after="0" w:line="360" w:lineRule="auto"/>
        <w:ind w:left="720" w:firstLine="72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None</w:t>
      </w:r>
      <w:r w:rsidDel="00000000" w:rsidR="00000000" w:rsidRPr="00000000">
        <w:rPr>
          <w:rtl w:val="0"/>
        </w:rPr>
      </w:r>
    </w:p>
    <w:p w:rsidR="00000000" w:rsidDel="00000000" w:rsidP="00000000" w:rsidRDefault="00000000" w:rsidRPr="00000000" w14:paraId="00000039">
      <w:pPr>
        <w:spacing w:after="0" w:line="360" w:lineRule="auto"/>
        <w:ind w:firstLine="72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3.3.2. RECURRING COST:</w:t>
      </w:r>
    </w:p>
    <w:p w:rsidR="00000000" w:rsidDel="00000000" w:rsidP="00000000" w:rsidRDefault="00000000" w:rsidRPr="00000000" w14:paraId="0000003A">
      <w:pPr>
        <w:spacing w:after="0" w:lineRule="auto"/>
        <w:ind w:left="709" w:firstLine="0"/>
        <w:jc w:val="both"/>
        <w:rPr>
          <w:color w:val="000000"/>
          <w:sz w:val="24"/>
          <w:szCs w:val="24"/>
        </w:rPr>
      </w:pPr>
      <w:bookmarkStart w:colFirst="0" w:colLast="0" w:name="_heading=h.gjdgxs" w:id="0"/>
      <w:bookmarkEnd w:id="0"/>
      <w:r w:rsidDel="00000000" w:rsidR="00000000" w:rsidRPr="00000000">
        <w:rPr>
          <w:rFonts w:ascii="Times New Roman" w:cs="Times New Roman" w:eastAsia="Times New Roman" w:hAnsi="Times New Roman"/>
          <w:b w:val="1"/>
          <w:color w:val="000000"/>
          <w:rtl w:val="0"/>
        </w:rPr>
        <w:tab/>
      </w:r>
      <w:r w:rsidDel="00000000" w:rsidR="00000000" w:rsidRPr="00000000">
        <w:rPr>
          <w:color w:val="000000"/>
          <w:sz w:val="24"/>
          <w:szCs w:val="24"/>
          <w:rtl w:val="0"/>
        </w:rPr>
        <w:t xml:space="preserve">Currently, this is an investigator-initiated trial. Funding will be arranged by Dr. Sandeep Singh by applying for the external grants. </w:t>
      </w:r>
      <w:r w:rsidDel="00000000" w:rsidR="00000000" w:rsidRPr="00000000">
        <w:rPr>
          <w:sz w:val="24"/>
          <w:szCs w:val="24"/>
          <w:rtl w:val="0"/>
        </w:rPr>
        <w:t xml:space="preserve">Payment of Rs. 40000/- + GST (as applicable) will be done by NIBMG to TMC, on signing of the MoU.</w:t>
      </w:r>
      <w:r w:rsidDel="00000000" w:rsidR="00000000" w:rsidRPr="00000000">
        <w:rPr>
          <w:color w:val="000000"/>
          <w:sz w:val="24"/>
          <w:szCs w:val="24"/>
          <w:rtl w:val="0"/>
        </w:rPr>
        <w:t xml:space="preserve"> </w:t>
      </w:r>
    </w:p>
    <w:p w:rsidR="00000000" w:rsidDel="00000000" w:rsidP="00000000" w:rsidRDefault="00000000" w:rsidRPr="00000000" w14:paraId="0000003B">
      <w:pPr>
        <w:spacing w:after="0" w:lineRule="auto"/>
        <w:ind w:left="709" w:firstLine="0"/>
        <w:jc w:val="both"/>
        <w:rPr>
          <w:color w:val="000000"/>
          <w:sz w:val="24"/>
          <w:szCs w:val="24"/>
        </w:rPr>
      </w:pPr>
      <w:r w:rsidDel="00000000" w:rsidR="00000000" w:rsidRPr="00000000">
        <w:rPr>
          <w:rtl w:val="0"/>
        </w:rPr>
      </w:r>
    </w:p>
    <w:tbl>
      <w:tblPr>
        <w:tblStyle w:val="Table1"/>
        <w:tblW w:w="7770.0" w:type="dxa"/>
        <w:jc w:val="center"/>
        <w:tblLayout w:type="fixed"/>
        <w:tblLook w:val="0400"/>
      </w:tblPr>
      <w:tblGrid>
        <w:gridCol w:w="2400"/>
        <w:gridCol w:w="1230"/>
        <w:gridCol w:w="1065"/>
        <w:gridCol w:w="3075"/>
        <w:tblGridChange w:id="0">
          <w:tblGrid>
            <w:gridCol w:w="2400"/>
            <w:gridCol w:w="1230"/>
            <w:gridCol w:w="1065"/>
            <w:gridCol w:w="3075"/>
          </w:tblGrid>
        </w:tblGridChange>
      </w:tblGrid>
      <w:tr>
        <w:trPr>
          <w:cantSplit w:val="0"/>
          <w:trHeight w:val="32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C">
            <w:pPr>
              <w:rPr>
                <w:color w:val="000000"/>
                <w:sz w:val="24"/>
                <w:szCs w:val="24"/>
              </w:rPr>
            </w:pPr>
            <w:r w:rsidDel="00000000" w:rsidR="00000000" w:rsidRPr="00000000">
              <w:rPr>
                <w:b w:val="1"/>
                <w:sz w:val="24"/>
                <w:szCs w:val="24"/>
                <w:rtl w:val="0"/>
              </w:rPr>
              <w:t xml:space="preserve">Budget Details</w:t>
            </w:r>
            <w:r w:rsidDel="00000000" w:rsidR="00000000" w:rsidRPr="00000000">
              <w:rPr>
                <w:color w:val="000000"/>
                <w:sz w:val="24"/>
                <w:szCs w:val="24"/>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rPr>
                <w:color w:val="000000"/>
                <w:sz w:val="24"/>
                <w:szCs w:val="24"/>
              </w:rPr>
            </w:pPr>
            <w:r w:rsidDel="00000000" w:rsidR="00000000" w:rsidRPr="00000000">
              <w:rPr>
                <w:color w:val="000000"/>
                <w:sz w:val="24"/>
                <w:szCs w:val="24"/>
                <w:rtl w:val="0"/>
              </w:rPr>
              <w:t xml:space="preserve">Year 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rPr>
                <w:color w:val="000000"/>
                <w:sz w:val="24"/>
                <w:szCs w:val="24"/>
              </w:rPr>
            </w:pPr>
            <w:r w:rsidDel="00000000" w:rsidR="00000000" w:rsidRPr="00000000">
              <w:rPr>
                <w:sz w:val="24"/>
                <w:szCs w:val="24"/>
                <w:rtl w:val="0"/>
              </w:rPr>
              <w:t xml:space="preserve">GST @18%</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rPr>
                <w:color w:val="000000"/>
                <w:sz w:val="24"/>
                <w:szCs w:val="24"/>
              </w:rPr>
            </w:pPr>
            <w:r w:rsidDel="00000000" w:rsidR="00000000" w:rsidRPr="00000000">
              <w:rPr>
                <w:color w:val="000000"/>
                <w:sz w:val="24"/>
                <w:szCs w:val="24"/>
                <w:rtl w:val="0"/>
              </w:rPr>
              <w:t xml:space="preserve">Total</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0">
            <w:pPr>
              <w:rPr>
                <w:color w:val="000000"/>
                <w:sz w:val="24"/>
                <w:szCs w:val="24"/>
              </w:rPr>
            </w:pPr>
            <w:r w:rsidDel="00000000" w:rsidR="00000000" w:rsidRPr="00000000">
              <w:rPr>
                <w:sz w:val="24"/>
                <w:szCs w:val="24"/>
                <w:rtl w:val="0"/>
              </w:rPr>
              <w:t xml:space="preserve">Microarray Slides</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rPr>
                <w:color w:val="000000"/>
                <w:sz w:val="24"/>
                <w:szCs w:val="24"/>
              </w:rPr>
            </w:pPr>
            <w:r w:rsidDel="00000000" w:rsidR="00000000" w:rsidRPr="00000000">
              <w:rPr>
                <w:sz w:val="24"/>
                <w:szCs w:val="24"/>
                <w:rtl w:val="0"/>
              </w:rPr>
              <w:t xml:space="preserve">20,000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2">
            <w:pPr>
              <w:rPr>
                <w:color w:val="000000"/>
                <w:sz w:val="24"/>
                <w:szCs w:val="24"/>
              </w:rPr>
            </w:pPr>
            <w:r w:rsidDel="00000000" w:rsidR="00000000" w:rsidRPr="00000000">
              <w:rPr>
                <w:sz w:val="24"/>
                <w:szCs w:val="24"/>
                <w:rtl w:val="0"/>
              </w:rPr>
              <w:t xml:space="preserve">3600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rPr>
                <w:sz w:val="24"/>
                <w:szCs w:val="24"/>
              </w:rPr>
            </w:pPr>
            <w:r w:rsidDel="00000000" w:rsidR="00000000" w:rsidRPr="00000000">
              <w:rPr>
                <w:sz w:val="24"/>
                <w:szCs w:val="24"/>
                <w:rtl w:val="0"/>
              </w:rPr>
              <w:t xml:space="preserve">23,600</w:t>
            </w:r>
          </w:p>
        </w:tc>
      </w:tr>
      <w:tr>
        <w:trPr>
          <w:cantSplit w:val="0"/>
          <w:trHeight w:val="32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4">
            <w:pPr>
              <w:rPr>
                <w:sz w:val="24"/>
                <w:szCs w:val="24"/>
              </w:rPr>
            </w:pPr>
            <w:r w:rsidDel="00000000" w:rsidR="00000000" w:rsidRPr="00000000">
              <w:rPr>
                <w:sz w:val="24"/>
                <w:szCs w:val="24"/>
                <w:rtl w:val="0"/>
              </w:rPr>
              <w:t xml:space="preserve">Service Charge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rPr>
                <w:color w:val="000000"/>
                <w:sz w:val="24"/>
                <w:szCs w:val="24"/>
              </w:rPr>
            </w:pPr>
            <w:r w:rsidDel="00000000" w:rsidR="00000000" w:rsidRPr="00000000">
              <w:rPr>
                <w:sz w:val="24"/>
                <w:szCs w:val="24"/>
                <w:rtl w:val="0"/>
              </w:rPr>
              <w:t xml:space="preserve">20,000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rPr>
                <w:color w:val="000000"/>
                <w:sz w:val="24"/>
                <w:szCs w:val="24"/>
              </w:rPr>
            </w:pPr>
            <w:r w:rsidDel="00000000" w:rsidR="00000000" w:rsidRPr="00000000">
              <w:rPr>
                <w:sz w:val="24"/>
                <w:szCs w:val="24"/>
                <w:rtl w:val="0"/>
              </w:rPr>
              <w:t xml:space="preserve">3600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rPr>
                <w:sz w:val="24"/>
                <w:szCs w:val="24"/>
              </w:rPr>
            </w:pPr>
            <w:r w:rsidDel="00000000" w:rsidR="00000000" w:rsidRPr="00000000">
              <w:rPr>
                <w:sz w:val="24"/>
                <w:szCs w:val="24"/>
                <w:rtl w:val="0"/>
              </w:rPr>
              <w:t xml:space="preserve">23,600</w:t>
            </w:r>
          </w:p>
        </w:tc>
      </w:tr>
    </w:tbl>
    <w:p w:rsidR="00000000" w:rsidDel="00000000" w:rsidP="00000000" w:rsidRDefault="00000000" w:rsidRPr="00000000" w14:paraId="00000048">
      <w:pPr>
        <w:spacing w:after="0" w:line="36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spacing w:after="0" w:line="360" w:lineRule="auto"/>
        <w:ind w:left="720" w:hanging="36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MANPOWER</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360" w:lineRule="auto"/>
        <w:ind w:left="720"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As per the table above. Currently, it will be done with the manpower available. </w:t>
      </w:r>
    </w:p>
    <w:p w:rsidR="00000000" w:rsidDel="00000000" w:rsidP="00000000" w:rsidRDefault="00000000" w:rsidRPr="00000000" w14:paraId="0000004B">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spacing w:after="0" w:line="3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b) CONSUMABLES </w:t>
      </w:r>
    </w:p>
    <w:p w:rsidR="00000000" w:rsidDel="00000000" w:rsidP="00000000" w:rsidRDefault="00000000" w:rsidRPr="00000000" w14:paraId="0000004D">
      <w:pPr>
        <w:spacing w:after="0" w:line="3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TMC will prepare the tissue microarray blocks. Thereafter, all reagents required for performing multiplex detection of markers of neoplastic, stromal CAFs, angiogenesis and immune markers will be purchased by NIBMG and needful to be done at their Center.  </w:t>
      </w:r>
    </w:p>
    <w:p w:rsidR="00000000" w:rsidDel="00000000" w:rsidP="00000000" w:rsidRDefault="00000000" w:rsidRPr="00000000" w14:paraId="0000004E">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spacing w:after="0" w:line="3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TMC has no financial liability against this MoU.</w:t>
      </w:r>
    </w:p>
    <w:p w:rsidR="00000000" w:rsidDel="00000000" w:rsidP="00000000" w:rsidRDefault="00000000" w:rsidRPr="00000000" w14:paraId="00000050">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1">
      <w:pPr>
        <w:spacing w:after="0" w:line="3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4. TENURE AND TERMINATION</w:t>
      </w:r>
    </w:p>
    <w:p w:rsidR="00000000" w:rsidDel="00000000" w:rsidP="00000000" w:rsidRDefault="00000000" w:rsidRPr="00000000" w14:paraId="00000052">
      <w:pPr>
        <w:spacing w:after="0" w:line="360" w:lineRule="auto"/>
        <w:ind w:left="270"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This Memorandum of Understanding (MoU) shall be valid initially for a period of two years from the date of signing. This MoU shall be reviewed after two years by the Directors of the institutes in consultation with the collaborators. During this review the terms and conditions may be amended based on mutual consent and the period of extension of the MoU may be decided. Either institute may also decide to terminate this MoU after the initial period of two years for which a written notice has to be given at least six months in advance so that the ongoing experiments are allowed to be completed. After termination of the MoU the ownership for all instruments shall remain with the institute which originally obtained funds for their purchase. Once this MoU is terminated, neither TMC Kolkata nor NIBMG will be responsible for any losses, financial or otherwise, which the other institution may suffer.</w:t>
      </w:r>
    </w:p>
    <w:p w:rsidR="00000000" w:rsidDel="00000000" w:rsidP="00000000" w:rsidRDefault="00000000" w:rsidRPr="00000000" w14:paraId="00000053">
      <w:pPr>
        <w:spacing w:after="0" w:line="360" w:lineRule="auto"/>
        <w:ind w:left="27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spacing w:after="0" w:line="360" w:lineRule="auto"/>
        <w:ind w:left="27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JURISDICTION:</w:t>
      </w:r>
    </w:p>
    <w:p w:rsidR="00000000" w:rsidDel="00000000" w:rsidP="00000000" w:rsidRDefault="00000000" w:rsidRPr="00000000" w14:paraId="00000055">
      <w:pPr>
        <w:spacing w:after="0" w:line="360" w:lineRule="auto"/>
        <w:ind w:left="27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MoU is governed by the Honourable Court of Kolkata</w:t>
      </w:r>
    </w:p>
    <w:p w:rsidR="00000000" w:rsidDel="00000000" w:rsidP="00000000" w:rsidRDefault="00000000" w:rsidRPr="00000000" w14:paraId="00000056">
      <w:pPr>
        <w:spacing w:after="0" w:line="360" w:lineRule="auto"/>
        <w:jc w:val="both"/>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057">
      <w:pPr>
        <w:spacing w:after="0" w:line="360" w:lineRule="auto"/>
        <w:jc w:val="both"/>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058">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9">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A">
      <w:pPr>
        <w:spacing w:after="0" w:line="36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5B">
      <w:pPr>
        <w:spacing w:after="0" w:line="36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SIGNATURES</w:t>
      </w:r>
    </w:p>
    <w:p w:rsidR="00000000" w:rsidDel="00000000" w:rsidP="00000000" w:rsidRDefault="00000000" w:rsidRPr="00000000" w14:paraId="0000005C">
      <w:pPr>
        <w:spacing w:after="0" w:line="360" w:lineRule="auto"/>
        <w:jc w:val="both"/>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05D">
      <w:pPr>
        <w:spacing w:after="0" w:line="3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05E">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F">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0">
      <w:pPr>
        <w:spacing w:after="0" w:line="360" w:lineRule="auto"/>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FOR NIBMG</w:t>
        <w:tab/>
        <w:tab/>
        <w:tab/>
        <w:tab/>
        <w:tab/>
        <w:tab/>
        <w:tab/>
        <w:t xml:space="preserve">FOR Tata Medical Center</w:t>
      </w:r>
    </w:p>
    <w:p w:rsidR="00000000" w:rsidDel="00000000" w:rsidP="00000000" w:rsidRDefault="00000000" w:rsidRPr="00000000" w14:paraId="00000061">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3">
      <w:pPr>
        <w:spacing w:after="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highlight w:val="yellow"/>
          <w:rtl w:val="0"/>
        </w:rPr>
        <w:t xml:space="preserve">Dr. Sagar Sengupta</w:t>
      </w:r>
      <w:r w:rsidDel="00000000" w:rsidR="00000000" w:rsidRPr="00000000">
        <w:rPr>
          <w:rFonts w:ascii="Times New Roman" w:cs="Times New Roman" w:eastAsia="Times New Roman" w:hAnsi="Times New Roman"/>
          <w:b w:val="1"/>
          <w:rtl w:val="0"/>
        </w:rPr>
        <w:tab/>
        <w:tab/>
        <w:tab/>
        <w:tab/>
        <w:tab/>
        <w:tab/>
        <w:t xml:space="preserve">Dr. Pattatheyil Arun</w:t>
      </w:r>
    </w:p>
    <w:p w:rsidR="00000000" w:rsidDel="00000000" w:rsidP="00000000" w:rsidRDefault="00000000" w:rsidRPr="00000000" w14:paraId="00000065">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Director</w:t>
        <w:tab/>
        <w:tab/>
        <w:tab/>
        <w:tab/>
        <w:tab/>
        <w:tab/>
        <w:tab/>
        <w:t xml:space="preserve">Chief Executive Officer</w:t>
      </w:r>
    </w:p>
    <w:p w:rsidR="00000000" w:rsidDel="00000000" w:rsidP="00000000" w:rsidRDefault="00000000" w:rsidRPr="00000000" w14:paraId="00000066">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7">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8">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9">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A">
      <w:pPr>
        <w:spacing w:after="0"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B">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Dr. Sandeep Singh</w:t>
        <w:tab/>
        <w:tab/>
        <w:tab/>
        <w:tab/>
        <w:tab/>
        <w:tab/>
      </w:r>
      <w:r w:rsidDel="00000000" w:rsidR="00000000" w:rsidRPr="00000000">
        <w:rPr>
          <w:rFonts w:ascii="Times New Roman" w:cs="Times New Roman" w:eastAsia="Times New Roman" w:hAnsi="Times New Roman"/>
          <w:b w:val="1"/>
          <w:sz w:val="24"/>
          <w:szCs w:val="24"/>
          <w:rtl w:val="0"/>
        </w:rPr>
        <w:t xml:space="preserve">Dr. Jain prateek Vijay</w:t>
      </w:r>
      <w:r w:rsidDel="00000000" w:rsidR="00000000" w:rsidRPr="00000000">
        <w:rPr>
          <w:rtl w:val="0"/>
        </w:rPr>
      </w:r>
    </w:p>
    <w:p w:rsidR="00000000" w:rsidDel="00000000" w:rsidP="00000000" w:rsidRDefault="00000000" w:rsidRPr="00000000" w14:paraId="0000006C">
      <w:pPr>
        <w:spacing w:after="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Principal Investigator</w:t>
        <w:tab/>
        <w:tab/>
        <w:tab/>
        <w:tab/>
        <w:tab/>
        <w:tab/>
        <w:t xml:space="preserve">Principal Investigator</w:t>
      </w:r>
    </w:p>
    <w:p w:rsidR="00000000" w:rsidDel="00000000" w:rsidP="00000000" w:rsidRDefault="00000000" w:rsidRPr="00000000" w14:paraId="0000006D">
      <w:pPr>
        <w:spacing w:after="0" w:line="36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6E">
      <w:pPr>
        <w:spacing w:after="0" w:line="36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6F">
      <w:pPr>
        <w:spacing w:after="0" w:line="36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70">
      <w:pPr>
        <w:spacing w:after="0" w:line="360" w:lineRule="auto"/>
        <w:ind w:left="5760"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1">
      <w:pPr>
        <w:spacing w:after="0" w:line="360" w:lineRule="auto"/>
        <w:ind w:left="5760"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2">
      <w:pPr>
        <w:spacing w:after="0" w:line="360" w:lineRule="auto"/>
        <w:ind w:left="57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Sanjeev Kumar Agarwal</w:t>
      </w:r>
    </w:p>
    <w:p w:rsidR="00000000" w:rsidDel="00000000" w:rsidP="00000000" w:rsidRDefault="00000000" w:rsidRPr="00000000" w14:paraId="00000073">
      <w:pPr>
        <w:spacing w:after="0" w:line="360" w:lineRule="auto"/>
        <w:ind w:left="576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Director-Finance</w:t>
      </w:r>
    </w:p>
    <w:p w:rsidR="00000000" w:rsidDel="00000000" w:rsidP="00000000" w:rsidRDefault="00000000" w:rsidRPr="00000000" w14:paraId="00000074">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5">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6">
      <w:pPr>
        <w:spacing w:after="0" w:line="36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color w:val="000000"/>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color w:val="000000"/>
      </w:rPr>
    </w:pPr>
    <w:r w:rsidDel="00000000" w:rsidR="00000000" w:rsidRPr="00000000">
      <w:rPr>
        <w:color w:val="000000"/>
        <w:rtl w:val="0"/>
      </w:rPr>
      <w:t xml:space="preserve">Page </w:t>
    </w:r>
    <w:r w:rsidDel="00000000" w:rsidR="00000000" w:rsidRPr="00000000">
      <w:rPr>
        <w:b w:val="1"/>
        <w:color w:val="000000"/>
        <w:sz w:val="24"/>
        <w:szCs w:val="24"/>
      </w:rPr>
      <w:fldChar w:fldCharType="begin"/>
      <w:instrText xml:space="preserve">PAGE</w:instrText>
      <w:fldChar w:fldCharType="separate"/>
      <w:fldChar w:fldCharType="end"/>
    </w:r>
    <w:r w:rsidDel="00000000" w:rsidR="00000000" w:rsidRPr="00000000">
      <w:rPr>
        <w:color w:val="000000"/>
        <w:rtl w:val="0"/>
      </w:rPr>
      <w:t xml:space="preserve"> of </w:t>
    </w:r>
    <w:r w:rsidDel="00000000" w:rsidR="00000000" w:rsidRPr="00000000">
      <w:rPr>
        <w:b w:val="1"/>
        <w:color w:val="000000"/>
        <w:sz w:val="24"/>
        <w:szCs w:val="2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NIBMG-TMC MoU for GBOC TMA Study (2024)</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Zero"/>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2">
    <w:lvl w:ilvl="0">
      <w:start w:val="1"/>
      <w:numFmt w:val="decimal"/>
      <w:lvlText w:val="%1."/>
      <w:lvlJc w:val="left"/>
      <w:pPr>
        <w:ind w:left="1069" w:hanging="360"/>
      </w:pPr>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3">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widowControl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uiPriority w:val="10"/>
    <w:qFormat w:val="1"/>
    <w:rsid w:val="00972B97"/>
    <w:pPr>
      <w:keepNext w:val="1"/>
      <w:keepLines w:val="1"/>
      <w:widowControl w:val="0"/>
      <w:spacing w:after="120" w:before="480"/>
    </w:pPr>
    <w:rPr>
      <w:b w:val="1"/>
      <w:sz w:val="72"/>
      <w:szCs w:val="72"/>
      <w:lang w:bidi="hi-IN" w:eastAsia="en-GB" w:val="en-GB"/>
    </w:rPr>
  </w:style>
  <w:style w:type="paragraph" w:styleId="ListParagraph">
    <w:name w:val="List Paragraph"/>
    <w:basedOn w:val="Normal"/>
    <w:uiPriority w:val="34"/>
    <w:qFormat w:val="1"/>
    <w:rsid w:val="00C14020"/>
    <w:pPr>
      <w:ind w:left="720"/>
      <w:contextualSpacing w:val="1"/>
    </w:pPr>
  </w:style>
  <w:style w:type="paragraph" w:styleId="Header">
    <w:name w:val="header"/>
    <w:basedOn w:val="Normal"/>
    <w:link w:val="HeaderChar"/>
    <w:uiPriority w:val="99"/>
    <w:unhideWhenUsed w:val="1"/>
    <w:rsid w:val="008C5213"/>
    <w:pPr>
      <w:tabs>
        <w:tab w:val="center" w:pos="4513"/>
        <w:tab w:val="right" w:pos="9026"/>
      </w:tabs>
      <w:spacing w:after="0" w:line="240" w:lineRule="auto"/>
    </w:pPr>
  </w:style>
  <w:style w:type="character" w:styleId="HeaderChar" w:customStyle="1">
    <w:name w:val="Header Char"/>
    <w:basedOn w:val="DefaultParagraphFont"/>
    <w:link w:val="Header"/>
    <w:uiPriority w:val="99"/>
    <w:rsid w:val="008C5213"/>
  </w:style>
  <w:style w:type="paragraph" w:styleId="Footer">
    <w:name w:val="footer"/>
    <w:basedOn w:val="Normal"/>
    <w:link w:val="FooterChar"/>
    <w:uiPriority w:val="99"/>
    <w:unhideWhenUsed w:val="1"/>
    <w:rsid w:val="008C5213"/>
    <w:pPr>
      <w:tabs>
        <w:tab w:val="center" w:pos="4513"/>
        <w:tab w:val="right" w:pos="9026"/>
      </w:tabs>
      <w:spacing w:after="0" w:line="240" w:lineRule="auto"/>
    </w:pPr>
  </w:style>
  <w:style w:type="character" w:styleId="FooterChar" w:customStyle="1">
    <w:name w:val="Footer Char"/>
    <w:basedOn w:val="DefaultParagraphFont"/>
    <w:link w:val="Footer"/>
    <w:uiPriority w:val="99"/>
    <w:rsid w:val="008C5213"/>
  </w:style>
  <w:style w:type="paragraph" w:styleId="BalloonText">
    <w:name w:val="Balloon Text"/>
    <w:basedOn w:val="Normal"/>
    <w:link w:val="BalloonTextChar"/>
    <w:uiPriority w:val="99"/>
    <w:semiHidden w:val="1"/>
    <w:unhideWhenUsed w:val="1"/>
    <w:rsid w:val="00AA3345"/>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AA3345"/>
    <w:rPr>
      <w:rFonts w:ascii="Tahoma" w:cs="Tahoma" w:hAnsi="Tahoma"/>
      <w:sz w:val="16"/>
      <w:szCs w:val="16"/>
    </w:rPr>
  </w:style>
  <w:style w:type="character" w:styleId="CommentReference">
    <w:name w:val="annotation reference"/>
    <w:basedOn w:val="DefaultParagraphFont"/>
    <w:uiPriority w:val="99"/>
    <w:semiHidden w:val="1"/>
    <w:unhideWhenUsed w:val="1"/>
    <w:rsid w:val="001E2DA6"/>
    <w:rPr>
      <w:sz w:val="16"/>
      <w:szCs w:val="16"/>
    </w:rPr>
  </w:style>
  <w:style w:type="paragraph" w:styleId="CommentText">
    <w:name w:val="annotation text"/>
    <w:basedOn w:val="Normal"/>
    <w:link w:val="CommentTextChar"/>
    <w:uiPriority w:val="99"/>
    <w:semiHidden w:val="1"/>
    <w:unhideWhenUsed w:val="1"/>
    <w:rsid w:val="001E2DA6"/>
    <w:pPr>
      <w:spacing w:line="240" w:lineRule="auto"/>
    </w:pPr>
    <w:rPr>
      <w:sz w:val="20"/>
      <w:szCs w:val="20"/>
    </w:rPr>
  </w:style>
  <w:style w:type="character" w:styleId="CommentTextChar" w:customStyle="1">
    <w:name w:val="Comment Text Char"/>
    <w:basedOn w:val="DefaultParagraphFont"/>
    <w:link w:val="CommentText"/>
    <w:uiPriority w:val="99"/>
    <w:semiHidden w:val="1"/>
    <w:rsid w:val="001E2DA6"/>
    <w:rPr>
      <w:sz w:val="20"/>
      <w:szCs w:val="20"/>
    </w:rPr>
  </w:style>
  <w:style w:type="paragraph" w:styleId="CommentSubject">
    <w:name w:val="annotation subject"/>
    <w:basedOn w:val="CommentText"/>
    <w:next w:val="CommentText"/>
    <w:link w:val="CommentSubjectChar"/>
    <w:uiPriority w:val="99"/>
    <w:semiHidden w:val="1"/>
    <w:unhideWhenUsed w:val="1"/>
    <w:rsid w:val="001E2DA6"/>
    <w:rPr>
      <w:b w:val="1"/>
      <w:bCs w:val="1"/>
    </w:rPr>
  </w:style>
  <w:style w:type="character" w:styleId="CommentSubjectChar" w:customStyle="1">
    <w:name w:val="Comment Subject Char"/>
    <w:basedOn w:val="CommentTextChar"/>
    <w:link w:val="CommentSubject"/>
    <w:uiPriority w:val="99"/>
    <w:semiHidden w:val="1"/>
    <w:rsid w:val="001E2DA6"/>
    <w:rPr>
      <w:b w:val="1"/>
      <w:bCs w:val="1"/>
      <w:sz w:val="20"/>
      <w:szCs w:val="20"/>
    </w:rPr>
  </w:style>
  <w:style w:type="character" w:styleId="Hyperlink">
    <w:name w:val="Hyperlink"/>
    <w:uiPriority w:val="99"/>
    <w:unhideWhenUsed w:val="1"/>
    <w:rsid w:val="00C85D62"/>
    <w:rPr>
      <w:color w:val="0000ff"/>
      <w:u w:val="single"/>
    </w:rPr>
  </w:style>
  <w:style w:type="character" w:styleId="TitleChar" w:customStyle="1">
    <w:name w:val="Title Char"/>
    <w:basedOn w:val="DefaultParagraphFont"/>
    <w:link w:val="Title"/>
    <w:uiPriority w:val="10"/>
    <w:rsid w:val="00972B97"/>
    <w:rPr>
      <w:rFonts w:ascii="Calibri" w:cs="Calibri" w:eastAsia="Calibri" w:hAnsi="Calibri"/>
      <w:b w:val="1"/>
      <w:sz w:val="72"/>
      <w:szCs w:val="72"/>
      <w:lang w:bidi="hi-IN" w:eastAsia="en-GB" w:val="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P0Rwnu5I1exA/m5JE02dfpWZ1A==">CgMxLjAyCGguZ2pkZ3hzOAByITFMcU05RllwZGNnLVVnRFB1dDNhWmZEUEoyUnpTWTI0bw==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2024-09-10T17:27:00Z</dcterms:created>
  <dc:creator>IISERK</dc:creator>
</cp:coreProperties>
</file>